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7B90" w14:textId="024115C2" w:rsidR="007371FF" w:rsidRPr="007371FF" w:rsidRDefault="007371FF" w:rsidP="007371FF">
      <w:pPr>
        <w:spacing w:after="240" w:line="240" w:lineRule="auto"/>
        <w:jc w:val="center"/>
        <w:rPr>
          <w:rFonts w:ascii="Technika Light" w:hAnsi="Technika Light" w:cs="CIDFont+F2"/>
          <w:b/>
          <w:bCs/>
          <w:color w:val="000000" w:themeColor="text1"/>
          <w:sz w:val="26"/>
          <w:szCs w:val="26"/>
          <w:lang w:val="en-GB" w:bidi="ar-SA"/>
        </w:rPr>
      </w:pPr>
      <w:r w:rsidRPr="007371FF">
        <w:rPr>
          <w:rFonts w:ascii="Technika Light" w:hAnsi="Technika Light" w:cs="CIDFont+F2"/>
          <w:b/>
          <w:bCs/>
          <w:color w:val="000000" w:themeColor="text1"/>
          <w:sz w:val="26"/>
          <w:szCs w:val="26"/>
          <w:lang w:val="en-GB" w:bidi="ar-SA"/>
        </w:rPr>
        <w:t xml:space="preserve">Notification of Admission Procedures to the Bachelor Programmes of the Faculty of Nuclear Sciences and Physical Engineering of the Czech Technical University in Prague for Academic Year </w:t>
      </w:r>
      <w:r w:rsidRPr="000E5A2A">
        <w:rPr>
          <w:rFonts w:ascii="Technika Light" w:hAnsi="Technika Light" w:cs="CIDFont+F2"/>
          <w:b/>
          <w:bCs/>
          <w:sz w:val="26"/>
          <w:szCs w:val="26"/>
          <w:lang w:val="en-GB" w:bidi="ar-SA"/>
        </w:rPr>
        <w:t>202</w:t>
      </w:r>
      <w:r w:rsidR="002B7D1D" w:rsidRPr="000E5A2A">
        <w:rPr>
          <w:rFonts w:ascii="Technika Light" w:hAnsi="Technika Light" w:cs="CIDFont+F2"/>
          <w:b/>
          <w:bCs/>
          <w:sz w:val="26"/>
          <w:szCs w:val="26"/>
          <w:lang w:val="en-GB" w:bidi="ar-SA"/>
        </w:rPr>
        <w:t>4</w:t>
      </w:r>
      <w:r w:rsidRPr="000E5A2A">
        <w:rPr>
          <w:rFonts w:ascii="Technika Light" w:hAnsi="Technika Light" w:cs="CIDFont+F2"/>
          <w:b/>
          <w:bCs/>
          <w:sz w:val="26"/>
          <w:szCs w:val="26"/>
          <w:lang w:val="en-GB" w:bidi="ar-SA"/>
        </w:rPr>
        <w:t xml:space="preserve"> – 202</w:t>
      </w:r>
      <w:r w:rsidR="002B7D1D" w:rsidRPr="000E5A2A">
        <w:rPr>
          <w:rFonts w:ascii="Technika Light" w:hAnsi="Technika Light" w:cs="CIDFont+F2"/>
          <w:b/>
          <w:bCs/>
          <w:sz w:val="26"/>
          <w:szCs w:val="26"/>
          <w:lang w:val="en-GB" w:bidi="ar-SA"/>
        </w:rPr>
        <w:t>5</w:t>
      </w:r>
    </w:p>
    <w:p w14:paraId="09123189" w14:textId="695A9898" w:rsidR="007371FF" w:rsidRPr="007371FF" w:rsidRDefault="007371FF" w:rsidP="007371FF">
      <w:pPr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Admission to the Bachelor Programmes</w:t>
      </w:r>
      <w:r w:rsidRPr="007371FF">
        <w:rPr>
          <w:rFonts w:ascii="Cambria" w:hAnsi="Cambria" w:cs="Cambria"/>
          <w:color w:val="000000" w:themeColor="text1"/>
          <w:sz w:val="22"/>
          <w:szCs w:val="22"/>
          <w:lang w:val="en-GB" w:bidi="ar-SA"/>
        </w:rPr>
        <w:t> 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of the Faculty of Nuclear Sciences and Physical Engineering of the Czech Technical University in Prague (hereinafter referred to as FNSPE of the CTU) is governed by Act No. 111/1</w:t>
      </w:r>
      <w:bookmarkStart w:id="0" w:name="_GoBack"/>
      <w:bookmarkEnd w:id="0"/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998 Coll. on Higher Education and on Changes and Amendments of other Acts, as amended, by the 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CTU Statute, by the Statute of the</w:t>
      </w:r>
      <w:r w:rsidRPr="000E5A2A">
        <w:rPr>
          <w:rFonts w:ascii="Cambria" w:hAnsi="Cambria" w:cs="Cambria"/>
          <w:sz w:val="22"/>
          <w:szCs w:val="22"/>
          <w:lang w:val="en-GB" w:bidi="ar-SA"/>
        </w:rPr>
        <w:t> 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 FNSPE of the CTU in Prague, by this document and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Dean’s Directive for Admission Procedures to the Bachelor Programme No.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3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/202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3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 (hereinafter referred to as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Dean´s Directive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).</w:t>
      </w:r>
    </w:p>
    <w:p w14:paraId="1A030FBE" w14:textId="77777777" w:rsidR="007371FF" w:rsidRPr="007371FF" w:rsidRDefault="007371FF" w:rsidP="007371FF">
      <w:pPr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Conditions for admission to the Bachelor Programmes are as follows:</w:t>
      </w:r>
    </w:p>
    <w:p w14:paraId="027F9DA1" w14:textId="1B584B70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Submission of one completed application to a bachelor programme no later than </w:t>
      </w:r>
      <w:r w:rsidRPr="007371FF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t xml:space="preserve">June </w:t>
      </w:r>
      <w:r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30</w:t>
      </w:r>
      <w:r w:rsidRPr="000E5A2A">
        <w:rPr>
          <w:rFonts w:ascii="Technika Light" w:hAnsi="Technika Light" w:cs="CIDFont+F2"/>
          <w:b/>
          <w:bCs/>
          <w:sz w:val="22"/>
          <w:szCs w:val="22"/>
          <w:vertAlign w:val="superscript"/>
          <w:lang w:val="en-GB" w:bidi="ar-SA"/>
        </w:rPr>
        <w:t>th</w:t>
      </w:r>
      <w:r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, 202</w:t>
      </w:r>
      <w:r w:rsidR="002B7D1D"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4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, electronically 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via </w:t>
      </w:r>
      <w:hyperlink r:id="rId12" w:history="1">
        <w:r w:rsidRPr="007371FF">
          <w:rPr>
            <w:rStyle w:val="Hypertextovodkaz"/>
            <w:rFonts w:ascii="Technika Light" w:hAnsi="Technika Light" w:cs="CIDFont+F2"/>
            <w:sz w:val="22"/>
            <w:szCs w:val="22"/>
            <w:lang w:val="en-GB" w:bidi="ar-SA"/>
          </w:rPr>
          <w:t>http://prihlaska.cvut.cz</w:t>
        </w:r>
      </w:hyperlink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. For details on submission please see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Dean´s 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Directive.</w:t>
      </w:r>
    </w:p>
    <w:p w14:paraId="74CEE667" w14:textId="13580B67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Payment of admission 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administration fee amounting to </w:t>
      </w:r>
      <w:r w:rsidR="002B7D1D"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90</w:t>
      </w:r>
      <w:r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0 CZK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 related to the admission procedure costs. The details of payment and proof of payment are specified by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Dean´s Directive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.</w:t>
      </w:r>
    </w:p>
    <w:p w14:paraId="4069F11C" w14:textId="77777777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Completion of secondary or secondary technical education (by having passed a secondary school-leaving examination or its equivalent). </w:t>
      </w:r>
    </w:p>
    <w:p w14:paraId="3B539B1C" w14:textId="6ECBE673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Submission of the secondary school-leaving certificate issued by a school based in the Czech Republic 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or Slovak Republic in a manner</w:t>
      </w:r>
      <w:r w:rsidRPr="000E5A2A">
        <w:rPr>
          <w:rFonts w:ascii="Cambria" w:hAnsi="Cambria" w:cs="Cambria"/>
          <w:sz w:val="22"/>
          <w:szCs w:val="22"/>
          <w:lang w:val="en-GB" w:bidi="ar-SA"/>
        </w:rPr>
        <w:t> 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specified by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Dean´s Directive. If the school-leaving examination or its equivalent was administered in a foreign country (except for the Slovak Republic), submission of a proof (as specified in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Dean´s Directive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) that the education obtained in a foreign country is of equal standard or has been validated in the Czech Republic.</w:t>
      </w:r>
    </w:p>
    <w:p w14:paraId="11725625" w14:textId="4BEEACF5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Competence in English at a level not below B2. Submission dates of examination certificates are specified by the </w:t>
      </w:r>
      <w:r w:rsidR="002B7D1D" w:rsidRPr="000E5A2A">
        <w:rPr>
          <w:rFonts w:ascii="Technika Light" w:hAnsi="Technika Light" w:cs="CIDFont+F2"/>
          <w:sz w:val="22"/>
          <w:szCs w:val="22"/>
          <w:lang w:val="en-GB" w:bidi="ar-SA"/>
        </w:rPr>
        <w:t>Vice-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>Dean´s Directive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.</w:t>
      </w:r>
    </w:p>
    <w:p w14:paraId="6C2B5655" w14:textId="77777777" w:rsidR="007371FF" w:rsidRPr="007371FF" w:rsidRDefault="007371FF" w:rsidP="007371FF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In the past, the applicant was not enrolled in a more than one Bachelor Programme offered by the FNSPE of CTU in Prague.</w:t>
      </w:r>
    </w:p>
    <w:p w14:paraId="559BFD7A" w14:textId="0D19F7DC" w:rsidR="007371FF" w:rsidRPr="007371FF" w:rsidRDefault="007371FF" w:rsidP="007371FF">
      <w:pPr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The date for verifying the entrance requirements, including submission of the documents, will be </w:t>
      </w:r>
      <w:r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 xml:space="preserve">September </w:t>
      </w:r>
      <w:r w:rsidR="002B7D1D"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6</w:t>
      </w:r>
      <w:r w:rsidRPr="000E5A2A">
        <w:rPr>
          <w:rFonts w:ascii="Technika Light" w:hAnsi="Technika Light" w:cs="CIDFont+F2"/>
          <w:b/>
          <w:bCs/>
          <w:sz w:val="22"/>
          <w:szCs w:val="22"/>
          <w:vertAlign w:val="superscript"/>
          <w:lang w:val="en-GB" w:bidi="ar-SA"/>
        </w:rPr>
        <w:t>th</w:t>
      </w:r>
      <w:r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, 202</w:t>
      </w:r>
      <w:r w:rsidR="002B7D1D" w:rsidRPr="000E5A2A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4</w:t>
      </w:r>
      <w:r w:rsidRPr="000E5A2A">
        <w:rPr>
          <w:rFonts w:ascii="Technika Light" w:hAnsi="Technika Light" w:cs="CIDFont+F2"/>
          <w:sz w:val="22"/>
          <w:szCs w:val="22"/>
          <w:lang w:val="en-GB" w:bidi="ar-SA"/>
        </w:rPr>
        <w:t xml:space="preserve">. 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Decision confirming admission to the Bachelor Programme </w:t>
      </w: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lastRenderedPageBreak/>
        <w:t>will then be issued within 30 days. Applications for a review of the decision will be examined and the decision issued within 30 days of their receipt.</w:t>
      </w:r>
    </w:p>
    <w:p w14:paraId="5C58223C" w14:textId="77777777" w:rsidR="007371FF" w:rsidRPr="007371FF" w:rsidRDefault="007371FF" w:rsidP="007371FF">
      <w:pPr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The applicant has the right to inspect all documents pertinent to the decision on their admission during the office hours of the Study Office.</w:t>
      </w:r>
    </w:p>
    <w:p w14:paraId="3C264DBC" w14:textId="0AF8642C" w:rsidR="007371FF" w:rsidRDefault="007371FF" w:rsidP="007371FF">
      <w:pPr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Admission procedure to the Bachelor Programmes terminates on the day the decision as to admission or non-admission of all applicants to the programme has been made.</w:t>
      </w:r>
    </w:p>
    <w:p w14:paraId="76279F28" w14:textId="6911C40E" w:rsidR="007371FF" w:rsidRDefault="007371FF" w:rsidP="007371FF">
      <w:pPr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699B371B" w14:textId="029E07D7" w:rsidR="007371FF" w:rsidRDefault="007371FF" w:rsidP="007371FF">
      <w:pPr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039F6E58" w14:textId="1658D208" w:rsidR="007371FF" w:rsidRDefault="007371FF" w:rsidP="007371FF">
      <w:pPr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2480FB64" w14:textId="2EEF137E" w:rsidR="007371FF" w:rsidRDefault="002139D0" w:rsidP="007371FF">
      <w:pPr>
        <w:spacing w:line="240" w:lineRule="auto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2139D0">
        <w:rPr>
          <w:rFonts w:ascii="Technika Light" w:hAnsi="Technika Light" w:cs="CIDFont+F2"/>
          <w:b/>
          <w:sz w:val="22"/>
          <w:szCs w:val="22"/>
          <w:lang w:val="en-GB" w:bidi="ar-SA"/>
        </w:rPr>
        <w:t>doc. Ing. Václav Čuba, Ph.D.</w:t>
      </w:r>
      <w:r w:rsidR="007371FF" w:rsidRPr="007371F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br/>
        <w:t xml:space="preserve">Dean </w:t>
      </w:r>
    </w:p>
    <w:p w14:paraId="2CB426BB" w14:textId="77777777" w:rsidR="007371FF" w:rsidRPr="007371FF" w:rsidRDefault="007371FF" w:rsidP="007371FF">
      <w:pPr>
        <w:spacing w:line="240" w:lineRule="auto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5ED4132F" w14:textId="77777777" w:rsidR="00022556" w:rsidRPr="000E5A2A" w:rsidRDefault="00022556" w:rsidP="00022556">
      <w:pPr>
        <w:spacing w:line="240" w:lineRule="auto"/>
        <w:jc w:val="both"/>
        <w:rPr>
          <w:rFonts w:ascii="Technika Light" w:hAnsi="Technika Light" w:cs="CIDFont+F2"/>
          <w:i/>
          <w:iCs/>
          <w:szCs w:val="20"/>
          <w:lang w:val="en-GB" w:bidi="ar-SA"/>
        </w:rPr>
      </w:pPr>
      <w:r w:rsidRPr="000E5A2A">
        <w:rPr>
          <w:rFonts w:ascii="Technika Light" w:hAnsi="Technika Light" w:cs="CIDFont+F2"/>
          <w:i/>
          <w:iCs/>
          <w:szCs w:val="20"/>
          <w:lang w:val="en-GB" w:bidi="ar-SA"/>
        </w:rPr>
        <w:t>Approved by the Academic Senate of the Faculty of Nuclear Sciences and Physical Engineering of the Czech Technical University in Prague on September 25, 2023.</w:t>
      </w:r>
    </w:p>
    <w:p w14:paraId="480736CF" w14:textId="6C9A1DC8" w:rsidR="0046661C" w:rsidRPr="00022556" w:rsidRDefault="0046661C" w:rsidP="007371FF">
      <w:pPr>
        <w:spacing w:line="240" w:lineRule="auto"/>
        <w:jc w:val="both"/>
        <w:rPr>
          <w:rFonts w:ascii="Technika Light" w:hAnsi="Technika Light"/>
          <w:sz w:val="22"/>
          <w:szCs w:val="22"/>
          <w:lang w:val="en-GB"/>
        </w:rPr>
      </w:pPr>
    </w:p>
    <w:sectPr w:rsidR="0046661C" w:rsidRPr="00022556" w:rsidSect="004529D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2AE78" w14:textId="77777777" w:rsidR="007554B7" w:rsidRDefault="007554B7" w:rsidP="003829EA">
      <w:pPr>
        <w:spacing w:line="240" w:lineRule="auto"/>
      </w:pPr>
      <w:r>
        <w:separator/>
      </w:r>
    </w:p>
  </w:endnote>
  <w:endnote w:type="continuationSeparator" w:id="0">
    <w:p w14:paraId="08E538E4" w14:textId="77777777" w:rsidR="007554B7" w:rsidRDefault="007554B7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Technika">
    <w:altName w:val="Times New Roman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chnika Light">
    <w:altName w:val="Arial"/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054"/>
      <w:gridCol w:w="2322"/>
      <w:gridCol w:w="3391"/>
    </w:tblGrid>
    <w:tr w:rsidR="00E44150" w14:paraId="71B4E39F" w14:textId="77777777" w:rsidTr="009709ED">
      <w:tc>
        <w:tcPr>
          <w:tcW w:w="0" w:type="auto"/>
          <w:shd w:val="clear" w:color="auto" w:fill="auto"/>
        </w:tcPr>
        <w:p w14:paraId="078214C3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14:paraId="24632920" w14:textId="48FB725B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115 19 Pra</w:t>
          </w:r>
          <w:r w:rsidR="00486AAD">
            <w:rPr>
              <w:caps/>
              <w:spacing w:val="8"/>
              <w:kern w:val="20"/>
              <w:sz w:val="14"/>
              <w:szCs w:val="14"/>
              <w:lang w:val="en-GB" w:bidi="ar-SA"/>
            </w:rPr>
            <w:t>GUE</w:t>
          </w: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 1</w:t>
          </w:r>
        </w:p>
        <w:p w14:paraId="696893F7" w14:textId="76B7DC5C" w:rsidR="00E44150" w:rsidRDefault="00486AAD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  <w:r w:rsidRPr="00486AAD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CZECH REPUBLIC</w:t>
          </w:r>
        </w:p>
      </w:tc>
      <w:tc>
        <w:tcPr>
          <w:tcW w:w="0" w:type="auto"/>
          <w:shd w:val="clear" w:color="auto" w:fill="auto"/>
        </w:tcPr>
        <w:p w14:paraId="07D31EA2" w14:textId="494AE1D3" w:rsidR="00E723D0" w:rsidRPr="00022556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 xml:space="preserve">+420 </w:t>
          </w:r>
          <w:r w:rsidR="00E723D0"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771 258 790</w:t>
          </w:r>
        </w:p>
        <w:p w14:paraId="0C0E9468" w14:textId="77777777" w:rsidR="00E44150" w:rsidRPr="00022556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email@fjfi.cvut.cz</w:t>
          </w:r>
        </w:p>
        <w:p w14:paraId="2660150D" w14:textId="77777777" w:rsidR="00E44150" w:rsidRPr="00022556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www.fjfi.cvut.cz</w:t>
          </w:r>
        </w:p>
        <w:p w14:paraId="4F146133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32061AC" w14:textId="77777777" w:rsidR="00486AAD" w:rsidRPr="00022556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EORI CZ68407700</w:t>
          </w:r>
        </w:p>
        <w:p w14:paraId="0C4FB41E" w14:textId="77777777" w:rsidR="00486AAD" w:rsidRPr="00022556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KB PRAHA 6, SWIFT KOMBCZPPXXX</w:t>
          </w:r>
        </w:p>
        <w:p w14:paraId="68BD91F4" w14:textId="77777777" w:rsidR="00486AAD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IBAN </w:t>
          </w:r>
          <w:r w:rsidRPr="008A233F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CZ1501000000195373100277</w:t>
          </w:r>
        </w:p>
        <w:p w14:paraId="1C6BE174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438D4BB7" w14:textId="77777777" w:rsidR="00A5019A" w:rsidRDefault="00A5019A" w:rsidP="00E441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22"/>
      <w:gridCol w:w="2220"/>
      <w:gridCol w:w="3391"/>
    </w:tblGrid>
    <w:tr w:rsidR="00E44150" w:rsidRPr="00F4565D" w14:paraId="77E387F0" w14:textId="77777777" w:rsidTr="009709ED">
      <w:tc>
        <w:tcPr>
          <w:tcW w:w="0" w:type="auto"/>
          <w:shd w:val="clear" w:color="auto" w:fill="auto"/>
        </w:tcPr>
        <w:p w14:paraId="41EA5BF6" w14:textId="77777777" w:rsidR="00E44150" w:rsidRPr="00486AAD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14:paraId="56D6C2E9" w14:textId="3731E1EE" w:rsidR="00E44150" w:rsidRPr="00486AAD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115 19 Pra</w:t>
          </w:r>
          <w:r w:rsid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GUE</w:t>
          </w: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 xml:space="preserve"> 1</w:t>
          </w:r>
        </w:p>
        <w:p w14:paraId="0800369F" w14:textId="7ADA2129" w:rsidR="00E44150" w:rsidRPr="00486AAD" w:rsidRDefault="00486AAD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Czech Republic</w:t>
          </w:r>
        </w:p>
        <w:p w14:paraId="0B3C1A4D" w14:textId="77777777" w:rsidR="00E44150" w:rsidRPr="00486AA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1BC9B9B7" w14:textId="1DC312EC" w:rsidR="00E44150" w:rsidRPr="00022556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 xml:space="preserve">+420 </w:t>
          </w:r>
          <w:r w:rsidR="00D55527" w:rsidRPr="00022556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771 258 790</w:t>
          </w:r>
        </w:p>
        <w:p w14:paraId="24E66EBC" w14:textId="1DDF9964" w:rsidR="00E44150" w:rsidRPr="00022556" w:rsidRDefault="0019081C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dekan</w:t>
          </w:r>
          <w:r w:rsidR="00E44150" w:rsidRPr="00022556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@fjfi.cvut.cz</w:t>
          </w:r>
        </w:p>
        <w:p w14:paraId="3732E030" w14:textId="77777777" w:rsidR="00E44150" w:rsidRPr="00022556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www.fjfi.cvut.cz</w:t>
          </w:r>
        </w:p>
        <w:p w14:paraId="35CF6CA0" w14:textId="77777777" w:rsidR="00E44150" w:rsidRPr="00486AA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5BF65530" w14:textId="77777777" w:rsidR="00486AAD" w:rsidRPr="00022556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EORI CZ68407700</w:t>
          </w:r>
        </w:p>
        <w:p w14:paraId="142EFDE3" w14:textId="77777777" w:rsidR="00486AAD" w:rsidRPr="00022556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022556">
            <w:rPr>
              <w:caps/>
              <w:spacing w:val="8"/>
              <w:kern w:val="20"/>
              <w:sz w:val="14"/>
              <w:szCs w:val="14"/>
              <w:lang w:bidi="ar-SA"/>
            </w:rPr>
            <w:t>KB PRAHA 6, SWIFT KOMBCZPPXXX</w:t>
          </w:r>
        </w:p>
        <w:p w14:paraId="69CEB312" w14:textId="77777777" w:rsidR="00486AAD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IBAN </w:t>
          </w:r>
          <w:r w:rsidRPr="008A233F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CZ1501000000195373100277</w:t>
          </w:r>
        </w:p>
        <w:p w14:paraId="2E86792D" w14:textId="3383A24E" w:rsidR="00E44150" w:rsidRPr="00F4565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caps/>
              <w:spacing w:val="8"/>
              <w:sz w:val="14"/>
              <w:szCs w:val="14"/>
            </w:rPr>
          </w:pPr>
        </w:p>
      </w:tc>
    </w:tr>
  </w:tbl>
  <w:p w14:paraId="6EE30529" w14:textId="77777777" w:rsidR="00A5019A" w:rsidRPr="00F4565D" w:rsidRDefault="00A5019A" w:rsidP="004E4774">
    <w:pPr>
      <w:pStyle w:val="Zpat"/>
      <w:spacing w:line="200" w:lineRule="exact"/>
      <w:rPr>
        <w:rFonts w:asciiTheme="majorHAnsi" w:hAnsiTheme="majorHAnsi" w:cstheme="majorHAnsi"/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F694" w14:textId="77777777" w:rsidR="007554B7" w:rsidRDefault="007554B7" w:rsidP="003829EA">
      <w:pPr>
        <w:spacing w:line="240" w:lineRule="auto"/>
      </w:pPr>
      <w:r>
        <w:separator/>
      </w:r>
    </w:p>
  </w:footnote>
  <w:footnote w:type="continuationSeparator" w:id="0">
    <w:p w14:paraId="283BBF1C" w14:textId="77777777" w:rsidR="007554B7" w:rsidRDefault="007554B7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32C1" w14:textId="42EFA0AE" w:rsidR="00A5019A" w:rsidRPr="000633F2" w:rsidRDefault="00486AAD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 w:bidi="ar-SA"/>
      </w:rPr>
      <w:t>Page</w:t>
    </w:r>
    <w:r w:rsidR="00A5019A" w:rsidRPr="008815D8">
      <w:rPr>
        <w:kern w:val="20"/>
        <w:szCs w:val="20"/>
        <w:lang w:val="en-GB"/>
      </w:rPr>
      <w:t xml:space="preserve"> </w:t>
    </w:r>
    <w:r w:rsidR="00A5019A" w:rsidRPr="008815D8">
      <w:rPr>
        <w:kern w:val="20"/>
        <w:szCs w:val="20"/>
        <w:lang w:val="en-GB"/>
      </w:rPr>
      <w:fldChar w:fldCharType="begin"/>
    </w:r>
    <w:r w:rsidR="00A5019A" w:rsidRPr="008815D8">
      <w:rPr>
        <w:kern w:val="20"/>
        <w:szCs w:val="20"/>
        <w:lang w:val="en-GB"/>
      </w:rPr>
      <w:instrText xml:space="preserve"> PAGE </w:instrText>
    </w:r>
    <w:r w:rsidR="00A5019A" w:rsidRPr="008815D8">
      <w:rPr>
        <w:kern w:val="20"/>
        <w:szCs w:val="20"/>
        <w:lang w:val="en-GB"/>
      </w:rPr>
      <w:fldChar w:fldCharType="separate"/>
    </w:r>
    <w:r w:rsidR="00022556">
      <w:rPr>
        <w:noProof/>
        <w:kern w:val="20"/>
        <w:szCs w:val="20"/>
        <w:lang w:val="en-GB"/>
      </w:rPr>
      <w:t>2</w:t>
    </w:r>
    <w:r w:rsidR="00A5019A" w:rsidRPr="008815D8">
      <w:rPr>
        <w:kern w:val="20"/>
        <w:szCs w:val="20"/>
        <w:lang w:val="en-GB"/>
      </w:rPr>
      <w:fldChar w:fldCharType="end"/>
    </w:r>
    <w:r w:rsidR="00A5019A">
      <w:rPr>
        <w:kern w:val="20"/>
        <w:szCs w:val="20"/>
        <w:lang w:val="en-GB"/>
      </w:rPr>
      <w:t>/</w:t>
    </w:r>
    <w:r w:rsidR="00A5019A" w:rsidRPr="008815D8">
      <w:rPr>
        <w:kern w:val="20"/>
        <w:szCs w:val="20"/>
        <w:lang w:val="en-GB"/>
      </w:rPr>
      <w:fldChar w:fldCharType="begin"/>
    </w:r>
    <w:r w:rsidR="00A5019A" w:rsidRPr="008815D8">
      <w:rPr>
        <w:kern w:val="20"/>
        <w:szCs w:val="20"/>
        <w:lang w:val="en-GB"/>
      </w:rPr>
      <w:instrText xml:space="preserve"> NUMPAGES </w:instrText>
    </w:r>
    <w:r w:rsidR="00A5019A" w:rsidRPr="008815D8">
      <w:rPr>
        <w:kern w:val="20"/>
        <w:szCs w:val="20"/>
        <w:lang w:val="en-GB"/>
      </w:rPr>
      <w:fldChar w:fldCharType="separate"/>
    </w:r>
    <w:r w:rsidR="00022556">
      <w:rPr>
        <w:noProof/>
        <w:kern w:val="20"/>
        <w:szCs w:val="20"/>
        <w:lang w:val="en-GB"/>
      </w:rPr>
      <w:t>2</w:t>
    </w:r>
    <w:r w:rsidR="00A5019A" w:rsidRPr="008815D8">
      <w:rPr>
        <w:kern w:val="20"/>
        <w:szCs w:val="20"/>
        <w:lang w:val="en-GB"/>
      </w:rPr>
      <w:fldChar w:fldCharType="end"/>
    </w:r>
  </w:p>
  <w:p w14:paraId="5D681125" w14:textId="2399A67A" w:rsidR="00A5019A" w:rsidRDefault="00486AAD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 wp14:anchorId="66115238" wp14:editId="322F21F8">
          <wp:simplePos x="0" y="0"/>
          <wp:positionH relativeFrom="page">
            <wp:posOffset>4926569</wp:posOffset>
          </wp:positionH>
          <wp:positionV relativeFrom="page">
            <wp:posOffset>428241</wp:posOffset>
          </wp:positionV>
          <wp:extent cx="2066400" cy="1007280"/>
          <wp:effectExtent l="0" t="0" r="0" b="2540"/>
          <wp:wrapNone/>
          <wp:docPr id="3" name="Obrázek 6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Text,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7530" w14:textId="3910D98A" w:rsidR="00486AAD" w:rsidRDefault="00486AAD" w:rsidP="00505940">
    <w:pPr>
      <w:pStyle w:val="Zhlav"/>
      <w:rPr>
        <w:rFonts w:cstheme="majorHAnsi"/>
        <w:caps/>
        <w:noProof/>
        <w:spacing w:val="8"/>
        <w:kern w:val="20"/>
        <w:szCs w:val="20"/>
        <w:lang w:eastAsia="cs-CZ" w:bidi="ar-SA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26982A8" wp14:editId="4ABCAEAE">
          <wp:simplePos x="0" y="0"/>
          <wp:positionH relativeFrom="page">
            <wp:posOffset>4926569</wp:posOffset>
          </wp:positionH>
          <wp:positionV relativeFrom="page">
            <wp:posOffset>598362</wp:posOffset>
          </wp:positionV>
          <wp:extent cx="2066400" cy="1007280"/>
          <wp:effectExtent l="0" t="0" r="0" b="2540"/>
          <wp:wrapNone/>
          <wp:docPr id="6" name="Obrázek 6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Text,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ajorHAnsi"/>
        <w:caps/>
        <w:noProof/>
        <w:spacing w:val="8"/>
        <w:kern w:val="20"/>
        <w:szCs w:val="20"/>
        <w:lang w:eastAsia="cs-CZ" w:bidi="ar-SA"/>
      </w:rPr>
      <w:t xml:space="preserve">Faculty of Nuclear Sciences </w:t>
    </w:r>
  </w:p>
  <w:p w14:paraId="67CC9D3E" w14:textId="378CBDD5" w:rsidR="00D76989" w:rsidRPr="0021486A" w:rsidRDefault="00486AAD" w:rsidP="00505940">
    <w:pPr>
      <w:pStyle w:val="Zhlav"/>
      <w:rPr>
        <w:rFonts w:cstheme="majorHAnsi"/>
      </w:rPr>
    </w:pPr>
    <w:r>
      <w:rPr>
        <w:rFonts w:cstheme="majorHAnsi"/>
        <w:caps/>
        <w:noProof/>
        <w:spacing w:val="8"/>
        <w:kern w:val="20"/>
        <w:szCs w:val="20"/>
        <w:lang w:eastAsia="cs-CZ" w:bidi="ar-SA"/>
      </w:rPr>
      <w:t>and Physical Engineering</w:t>
    </w:r>
  </w:p>
  <w:p w14:paraId="1357FF89" w14:textId="77777777" w:rsidR="000E5A2A" w:rsidRDefault="000E5A2A" w:rsidP="00051265">
    <w:pPr>
      <w:rPr>
        <w:rFonts w:cstheme="majorHAnsi"/>
        <w:kern w:val="20"/>
        <w:szCs w:val="20"/>
      </w:rPr>
    </w:pPr>
    <w:r w:rsidRPr="000E5A2A">
      <w:rPr>
        <w:rFonts w:cstheme="majorHAnsi"/>
        <w:kern w:val="20"/>
        <w:szCs w:val="20"/>
      </w:rPr>
      <w:t>doc. Mgr. Milan Krbálek, Ph.D.</w:t>
    </w:r>
  </w:p>
  <w:p w14:paraId="6F168E8E" w14:textId="253101B1" w:rsidR="00A5019A" w:rsidRPr="0021486A" w:rsidRDefault="000E5A2A" w:rsidP="00051265">
    <w:pPr>
      <w:rPr>
        <w:rFonts w:cstheme="majorHAnsi"/>
        <w:caps/>
        <w:spacing w:val="8"/>
        <w:kern w:val="20"/>
        <w:szCs w:val="20"/>
        <w:lang w:val="en-GB" w:bidi="ar-SA"/>
      </w:rPr>
    </w:pPr>
    <w:r>
      <w:rPr>
        <w:rFonts w:cstheme="majorHAnsi"/>
        <w:caps/>
        <w:spacing w:val="8"/>
        <w:kern w:val="20"/>
        <w:szCs w:val="20"/>
        <w:lang w:val="en-GB" w:bidi="ar-SA"/>
      </w:rPr>
      <w:t>vice-</w:t>
    </w:r>
    <w:r w:rsidR="00486AAD">
      <w:rPr>
        <w:rFonts w:cstheme="majorHAnsi"/>
        <w:caps/>
        <w:spacing w:val="8"/>
        <w:kern w:val="20"/>
        <w:szCs w:val="20"/>
        <w:lang w:val="en-GB" w:bidi="ar-SA"/>
      </w:rPr>
      <w:t>DEAN</w:t>
    </w:r>
  </w:p>
  <w:p w14:paraId="4F67E1D5" w14:textId="409C7A39" w:rsidR="00A5019A" w:rsidRPr="0021486A" w:rsidRDefault="00486AAD" w:rsidP="000633F2">
    <w:pPr>
      <w:framePr w:w="2835" w:h="567" w:wrap="notBeside" w:vAnchor="page" w:hAnchor="page" w:x="9186" w:y="2836"/>
      <w:rPr>
        <w:rFonts w:cstheme="majorHAnsi"/>
        <w:kern w:val="20"/>
        <w:szCs w:val="20"/>
        <w:lang w:val="en-GB" w:bidi="ar-SA"/>
      </w:rPr>
    </w:pPr>
    <w:r>
      <w:rPr>
        <w:rFonts w:cstheme="majorHAnsi"/>
        <w:kern w:val="20"/>
        <w:szCs w:val="20"/>
        <w:lang w:val="en-GB" w:bidi="ar-SA"/>
      </w:rPr>
      <w:t>Page</w:t>
    </w:r>
    <w:r w:rsidR="00A5019A" w:rsidRPr="0021486A">
      <w:rPr>
        <w:rFonts w:cstheme="majorHAnsi"/>
        <w:kern w:val="20"/>
        <w:szCs w:val="20"/>
        <w:lang w:val="en-GB"/>
      </w:rPr>
      <w:t xml:space="preserve"> </w:t>
    </w:r>
    <w:r w:rsidR="00A5019A" w:rsidRPr="0021486A">
      <w:rPr>
        <w:rFonts w:cstheme="majorHAnsi"/>
        <w:kern w:val="20"/>
        <w:szCs w:val="20"/>
        <w:lang w:val="en-GB"/>
      </w:rPr>
      <w:fldChar w:fldCharType="begin"/>
    </w:r>
    <w:r w:rsidR="00A5019A" w:rsidRPr="0021486A">
      <w:rPr>
        <w:rFonts w:cstheme="majorHAnsi"/>
        <w:kern w:val="20"/>
        <w:szCs w:val="20"/>
        <w:lang w:val="en-GB"/>
      </w:rPr>
      <w:instrText xml:space="preserve"> PAGE </w:instrText>
    </w:r>
    <w:r w:rsidR="00A5019A" w:rsidRPr="0021486A">
      <w:rPr>
        <w:rFonts w:cstheme="majorHAnsi"/>
        <w:kern w:val="20"/>
        <w:szCs w:val="20"/>
        <w:lang w:val="en-GB"/>
      </w:rPr>
      <w:fldChar w:fldCharType="separate"/>
    </w:r>
    <w:r w:rsidR="00022556">
      <w:rPr>
        <w:rFonts w:cstheme="majorHAnsi"/>
        <w:noProof/>
        <w:kern w:val="20"/>
        <w:szCs w:val="20"/>
        <w:lang w:val="en-GB"/>
      </w:rPr>
      <w:t>1</w:t>
    </w:r>
    <w:r w:rsidR="00A5019A" w:rsidRPr="0021486A">
      <w:rPr>
        <w:rFonts w:cstheme="majorHAnsi"/>
        <w:kern w:val="20"/>
        <w:szCs w:val="20"/>
        <w:lang w:val="en-GB"/>
      </w:rPr>
      <w:fldChar w:fldCharType="end"/>
    </w:r>
    <w:r w:rsidR="00A5019A" w:rsidRPr="0021486A">
      <w:rPr>
        <w:rFonts w:cstheme="majorHAnsi"/>
        <w:kern w:val="20"/>
        <w:szCs w:val="20"/>
        <w:lang w:val="en-GB"/>
      </w:rPr>
      <w:t>/</w:t>
    </w:r>
    <w:r w:rsidR="00A5019A" w:rsidRPr="0021486A">
      <w:rPr>
        <w:rFonts w:cstheme="majorHAnsi"/>
        <w:kern w:val="20"/>
        <w:szCs w:val="20"/>
        <w:lang w:val="en-GB"/>
      </w:rPr>
      <w:fldChar w:fldCharType="begin"/>
    </w:r>
    <w:r w:rsidR="00A5019A" w:rsidRPr="0021486A">
      <w:rPr>
        <w:rFonts w:cstheme="majorHAnsi"/>
        <w:kern w:val="20"/>
        <w:szCs w:val="20"/>
        <w:lang w:val="en-GB"/>
      </w:rPr>
      <w:instrText xml:space="preserve"> NUMPAGES </w:instrText>
    </w:r>
    <w:r w:rsidR="00A5019A" w:rsidRPr="0021486A">
      <w:rPr>
        <w:rFonts w:cstheme="majorHAnsi"/>
        <w:kern w:val="20"/>
        <w:szCs w:val="20"/>
        <w:lang w:val="en-GB"/>
      </w:rPr>
      <w:fldChar w:fldCharType="separate"/>
    </w:r>
    <w:r w:rsidR="00022556">
      <w:rPr>
        <w:rFonts w:cstheme="majorHAnsi"/>
        <w:noProof/>
        <w:kern w:val="20"/>
        <w:szCs w:val="20"/>
        <w:lang w:val="en-GB"/>
      </w:rPr>
      <w:t>2</w:t>
    </w:r>
    <w:r w:rsidR="00A5019A" w:rsidRPr="0021486A">
      <w:rPr>
        <w:rFonts w:cstheme="majorHAnsi"/>
        <w:kern w:val="20"/>
        <w:szCs w:val="20"/>
        <w:lang w:val="en-GB"/>
      </w:rPr>
      <w:fldChar w:fldCharType="end"/>
    </w:r>
  </w:p>
  <w:p w14:paraId="70217FE4" w14:textId="72BE1882" w:rsidR="006036F3" w:rsidRPr="0021486A" w:rsidRDefault="00486AAD" w:rsidP="006036F3">
    <w:pPr>
      <w:framePr w:w="3537" w:h="1255" w:wrap="notBeside" w:vAnchor="page" w:hAnchor="page" w:x="6859" w:y="3403"/>
      <w:rPr>
        <w:rFonts w:cstheme="majorHAnsi"/>
        <w:kern w:val="20"/>
        <w:szCs w:val="20"/>
        <w:lang w:val="en-GB" w:bidi="ar-SA"/>
        <w14:numForm w14:val="oldStyle"/>
        <w14:numSpacing w14:val="proportional"/>
      </w:rPr>
    </w:pPr>
    <w:r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>Prague,</w:t>
    </w:r>
    <w:r w:rsidR="006036F3" w:rsidRPr="0021486A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 xml:space="preserve"> </w:t>
    </w:r>
    <w:r w:rsidRPr="002139D0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>November 2</w:t>
    </w:r>
    <w:r w:rsidR="002139D0" w:rsidRPr="002139D0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>0</w:t>
    </w:r>
    <w:r w:rsidRPr="002139D0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 xml:space="preserve">, </w:t>
    </w:r>
    <w:r w:rsidR="0035302E" w:rsidRPr="002139D0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>202</w:t>
    </w:r>
    <w:r w:rsidR="002139D0" w:rsidRPr="002139D0">
      <w:rPr>
        <w:rFonts w:cstheme="majorHAnsi"/>
        <w:kern w:val="20"/>
        <w:szCs w:val="20"/>
        <w:lang w:val="en-GB" w:bidi="ar-SA"/>
        <w14:numForm w14:val="oldStyle"/>
        <w14:numSpacing w14:val="proportional"/>
      </w:rPr>
      <w:t>3</w:t>
    </w:r>
  </w:p>
  <w:p w14:paraId="5034493C" w14:textId="6203B300" w:rsidR="006036F3" w:rsidRPr="0021486A" w:rsidRDefault="00486AAD" w:rsidP="006036F3">
    <w:pPr>
      <w:framePr w:w="3537" w:h="1255" w:wrap="notBeside" w:vAnchor="page" w:hAnchor="page" w:x="6859" w:y="3403"/>
      <w:rPr>
        <w:rFonts w:cstheme="majorHAnsi"/>
        <w:kern w:val="20"/>
        <w:szCs w:val="20"/>
        <w:lang w:bidi="ar-SA"/>
        <w14:numForm w14:val="oldStyle"/>
        <w14:numSpacing w14:val="proportional"/>
      </w:rPr>
    </w:pPr>
    <w:proofErr w:type="spellStart"/>
    <w:r>
      <w:rPr>
        <w:rFonts w:cstheme="majorHAnsi"/>
        <w:kern w:val="20"/>
        <w:szCs w:val="20"/>
        <w:lang w:bidi="ar-SA"/>
        <w14:numForm w14:val="oldStyle"/>
        <w14:numSpacing w14:val="proportional"/>
      </w:rPr>
      <w:t>ref</w:t>
    </w:r>
    <w:proofErr w:type="spellEnd"/>
    <w:r>
      <w:rPr>
        <w:rFonts w:cstheme="majorHAnsi"/>
        <w:kern w:val="20"/>
        <w:szCs w:val="20"/>
        <w:lang w:bidi="ar-SA"/>
        <w14:numForm w14:val="oldStyle"/>
        <w14:numSpacing w14:val="proportional"/>
      </w:rPr>
      <w:t>. No</w:t>
    </w:r>
    <w:r w:rsidR="006036F3" w:rsidRPr="0021486A">
      <w:rPr>
        <w:rFonts w:cstheme="majorHAnsi"/>
        <w:kern w:val="20"/>
        <w:szCs w:val="20"/>
        <w:lang w:bidi="ar-SA"/>
        <w14:numForm w14:val="oldStyle"/>
        <w14:numSpacing w14:val="proportional"/>
      </w:rPr>
      <w:t xml:space="preserve">. </w:t>
    </w:r>
    <w:r w:rsidR="000E5A2A">
      <w:rPr>
        <w:color w:val="000000"/>
        <w:szCs w:val="20"/>
      </w:rPr>
      <w:t>5005</w:t>
    </w:r>
    <w:r w:rsidR="0021486A" w:rsidRPr="0021486A">
      <w:rPr>
        <w:color w:val="000000"/>
        <w:szCs w:val="20"/>
      </w:rPr>
      <w:t>/2</w:t>
    </w:r>
    <w:r w:rsidR="000E5A2A">
      <w:rPr>
        <w:color w:val="000000"/>
        <w:szCs w:val="20"/>
      </w:rPr>
      <w:t>3</w:t>
    </w:r>
    <w:r w:rsidR="0021486A" w:rsidRPr="0021486A">
      <w:rPr>
        <w:color w:val="000000"/>
        <w:szCs w:val="20"/>
      </w:rPr>
      <w:t>/149</w:t>
    </w:r>
    <w:r w:rsidR="000E5A2A">
      <w:rPr>
        <w:color w:val="000000"/>
        <w:szCs w:val="20"/>
      </w:rPr>
      <w:t>21/</w:t>
    </w:r>
    <w:proofErr w:type="spellStart"/>
    <w:r w:rsidR="000E5A2A">
      <w:rPr>
        <w:color w:val="000000"/>
        <w:szCs w:val="20"/>
      </w:rPr>
      <w:t>Kr</w:t>
    </w:r>
    <w:proofErr w:type="spellEnd"/>
    <w:r w:rsidR="0021486A" w:rsidRPr="0021486A">
      <w:rPr>
        <w:rFonts w:ascii="Cambria" w:hAnsi="Cambria" w:cs="Cambria"/>
        <w:color w:val="000000"/>
        <w:szCs w:val="20"/>
      </w:rPr>
      <w:t> </w:t>
    </w:r>
  </w:p>
  <w:p w14:paraId="35D664BE" w14:textId="77777777" w:rsidR="00A5019A" w:rsidRPr="0021486A" w:rsidRDefault="00A5019A" w:rsidP="001442C5">
    <w:pPr>
      <w:pStyle w:val="Zhlav"/>
      <w:rPr>
        <w:rFonts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0C4"/>
    <w:multiLevelType w:val="hybridMultilevel"/>
    <w:tmpl w:val="DFFA199E"/>
    <w:lvl w:ilvl="0" w:tplc="708E62B2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DA46DB"/>
    <w:multiLevelType w:val="hybridMultilevel"/>
    <w:tmpl w:val="64DCC8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AE6C34"/>
    <w:multiLevelType w:val="hybridMultilevel"/>
    <w:tmpl w:val="48E86AB2"/>
    <w:lvl w:ilvl="0" w:tplc="9BEE8A6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-672" w:hanging="360"/>
      </w:pPr>
    </w:lvl>
    <w:lvl w:ilvl="2" w:tplc="0809001B" w:tentative="1">
      <w:start w:val="1"/>
      <w:numFmt w:val="lowerRoman"/>
      <w:lvlText w:val="%3."/>
      <w:lvlJc w:val="right"/>
      <w:pPr>
        <w:ind w:left="48" w:hanging="180"/>
      </w:pPr>
    </w:lvl>
    <w:lvl w:ilvl="3" w:tplc="0809000F" w:tentative="1">
      <w:start w:val="1"/>
      <w:numFmt w:val="decimal"/>
      <w:lvlText w:val="%4."/>
      <w:lvlJc w:val="left"/>
      <w:pPr>
        <w:ind w:left="768" w:hanging="360"/>
      </w:pPr>
    </w:lvl>
    <w:lvl w:ilvl="4" w:tplc="08090019" w:tentative="1">
      <w:start w:val="1"/>
      <w:numFmt w:val="lowerLetter"/>
      <w:lvlText w:val="%5."/>
      <w:lvlJc w:val="left"/>
      <w:pPr>
        <w:ind w:left="1488" w:hanging="360"/>
      </w:pPr>
    </w:lvl>
    <w:lvl w:ilvl="5" w:tplc="0809001B" w:tentative="1">
      <w:start w:val="1"/>
      <w:numFmt w:val="lowerRoman"/>
      <w:lvlText w:val="%6."/>
      <w:lvlJc w:val="right"/>
      <w:pPr>
        <w:ind w:left="2208" w:hanging="180"/>
      </w:pPr>
    </w:lvl>
    <w:lvl w:ilvl="6" w:tplc="0809000F" w:tentative="1">
      <w:start w:val="1"/>
      <w:numFmt w:val="decimal"/>
      <w:lvlText w:val="%7."/>
      <w:lvlJc w:val="left"/>
      <w:pPr>
        <w:ind w:left="2928" w:hanging="360"/>
      </w:pPr>
    </w:lvl>
    <w:lvl w:ilvl="7" w:tplc="08090019" w:tentative="1">
      <w:start w:val="1"/>
      <w:numFmt w:val="lowerLetter"/>
      <w:lvlText w:val="%8."/>
      <w:lvlJc w:val="left"/>
      <w:pPr>
        <w:ind w:left="3648" w:hanging="360"/>
      </w:pPr>
    </w:lvl>
    <w:lvl w:ilvl="8" w:tplc="0809001B" w:tentative="1">
      <w:start w:val="1"/>
      <w:numFmt w:val="lowerRoman"/>
      <w:lvlText w:val="%9."/>
      <w:lvlJc w:val="right"/>
      <w:pPr>
        <w:ind w:left="4368" w:hanging="180"/>
      </w:pPr>
    </w:lvl>
  </w:abstractNum>
  <w:abstractNum w:abstractNumId="3" w15:restartNumberingAfterBreak="0">
    <w:nsid w:val="23F3483B"/>
    <w:multiLevelType w:val="multilevel"/>
    <w:tmpl w:val="38E87B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56306EA"/>
    <w:multiLevelType w:val="hybridMultilevel"/>
    <w:tmpl w:val="76147406"/>
    <w:lvl w:ilvl="0" w:tplc="FC169DFC">
      <w:start w:val="1"/>
      <w:numFmt w:val="decimal"/>
      <w:lvlText w:val="%1."/>
      <w:lvlJc w:val="left"/>
      <w:pPr>
        <w:ind w:left="615" w:hanging="61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F42278"/>
    <w:multiLevelType w:val="hybridMultilevel"/>
    <w:tmpl w:val="C51A293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4816B6C"/>
    <w:multiLevelType w:val="hybridMultilevel"/>
    <w:tmpl w:val="CFB6F2F2"/>
    <w:lvl w:ilvl="0" w:tplc="05665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31C2F"/>
    <w:multiLevelType w:val="hybridMultilevel"/>
    <w:tmpl w:val="BBD0B7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5517F4"/>
    <w:multiLevelType w:val="hybridMultilevel"/>
    <w:tmpl w:val="3D9AABBA"/>
    <w:lvl w:ilvl="0" w:tplc="040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9" w15:restartNumberingAfterBreak="0">
    <w:nsid w:val="49D52B9D"/>
    <w:multiLevelType w:val="multilevel"/>
    <w:tmpl w:val="5EFC483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E4C0385"/>
    <w:multiLevelType w:val="hybridMultilevel"/>
    <w:tmpl w:val="2B36087A"/>
    <w:lvl w:ilvl="0" w:tplc="D83AA5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6CA2"/>
    <w:multiLevelType w:val="hybridMultilevel"/>
    <w:tmpl w:val="AE0C8D62"/>
    <w:lvl w:ilvl="0" w:tplc="05665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A30D0"/>
    <w:multiLevelType w:val="multilevel"/>
    <w:tmpl w:val="A2ECAAA0"/>
    <w:styleLink w:val="CurrentList1"/>
    <w:lvl w:ilvl="0">
      <w:start w:val="1"/>
      <w:numFmt w:val="decimal"/>
      <w:lvlText w:val="%1."/>
      <w:lvlJc w:val="left"/>
      <w:pPr>
        <w:ind w:left="-1392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-672" w:hanging="360"/>
      </w:pPr>
    </w:lvl>
    <w:lvl w:ilvl="2">
      <w:start w:val="1"/>
      <w:numFmt w:val="lowerRoman"/>
      <w:lvlText w:val="%3."/>
      <w:lvlJc w:val="right"/>
      <w:pPr>
        <w:ind w:left="48" w:hanging="180"/>
      </w:pPr>
    </w:lvl>
    <w:lvl w:ilvl="3">
      <w:start w:val="1"/>
      <w:numFmt w:val="decimal"/>
      <w:lvlText w:val="%4."/>
      <w:lvlJc w:val="left"/>
      <w:pPr>
        <w:ind w:left="768" w:hanging="360"/>
      </w:pPr>
    </w:lvl>
    <w:lvl w:ilvl="4">
      <w:start w:val="1"/>
      <w:numFmt w:val="lowerLetter"/>
      <w:lvlText w:val="%5."/>
      <w:lvlJc w:val="left"/>
      <w:pPr>
        <w:ind w:left="1488" w:hanging="360"/>
      </w:pPr>
    </w:lvl>
    <w:lvl w:ilvl="5">
      <w:start w:val="1"/>
      <w:numFmt w:val="lowerRoman"/>
      <w:lvlText w:val="%6."/>
      <w:lvlJc w:val="right"/>
      <w:pPr>
        <w:ind w:left="2208" w:hanging="180"/>
      </w:pPr>
    </w:lvl>
    <w:lvl w:ilvl="6">
      <w:start w:val="1"/>
      <w:numFmt w:val="decimal"/>
      <w:lvlText w:val="%7."/>
      <w:lvlJc w:val="left"/>
      <w:pPr>
        <w:ind w:left="2928" w:hanging="360"/>
      </w:pPr>
    </w:lvl>
    <w:lvl w:ilvl="7">
      <w:start w:val="1"/>
      <w:numFmt w:val="lowerLetter"/>
      <w:lvlText w:val="%8."/>
      <w:lvlJc w:val="left"/>
      <w:pPr>
        <w:ind w:left="3648" w:hanging="360"/>
      </w:pPr>
    </w:lvl>
    <w:lvl w:ilvl="8">
      <w:start w:val="1"/>
      <w:numFmt w:val="lowerRoman"/>
      <w:lvlText w:val="%9."/>
      <w:lvlJc w:val="right"/>
      <w:pPr>
        <w:ind w:left="4368" w:hanging="180"/>
      </w:pPr>
    </w:lvl>
  </w:abstractNum>
  <w:abstractNum w:abstractNumId="14" w15:restartNumberingAfterBreak="0">
    <w:nsid w:val="672379C2"/>
    <w:multiLevelType w:val="hybridMultilevel"/>
    <w:tmpl w:val="64DCC8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5D0FDD"/>
    <w:multiLevelType w:val="hybridMultilevel"/>
    <w:tmpl w:val="49F6EABE"/>
    <w:lvl w:ilvl="0" w:tplc="05665F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426290C"/>
    <w:multiLevelType w:val="multilevel"/>
    <w:tmpl w:val="79BEDE70"/>
    <w:lvl w:ilvl="0">
      <w:start w:val="1"/>
      <w:numFmt w:val="decimal"/>
      <w:lvlText w:val="%1."/>
      <w:lvlJc w:val="left"/>
      <w:pPr>
        <w:tabs>
          <w:tab w:val="num" w:pos="5997"/>
        </w:tabs>
        <w:ind w:left="5997" w:hanging="360"/>
      </w:pPr>
    </w:lvl>
    <w:lvl w:ilvl="1" w:tentative="1">
      <w:start w:val="1"/>
      <w:numFmt w:val="decimal"/>
      <w:lvlText w:val="%2."/>
      <w:lvlJc w:val="left"/>
      <w:pPr>
        <w:tabs>
          <w:tab w:val="num" w:pos="6717"/>
        </w:tabs>
        <w:ind w:left="6717" w:hanging="360"/>
      </w:pPr>
    </w:lvl>
    <w:lvl w:ilvl="2" w:tentative="1">
      <w:start w:val="1"/>
      <w:numFmt w:val="decimal"/>
      <w:lvlText w:val="%3."/>
      <w:lvlJc w:val="left"/>
      <w:pPr>
        <w:tabs>
          <w:tab w:val="num" w:pos="7437"/>
        </w:tabs>
        <w:ind w:left="7437" w:hanging="360"/>
      </w:pPr>
    </w:lvl>
    <w:lvl w:ilvl="3" w:tentative="1">
      <w:start w:val="1"/>
      <w:numFmt w:val="decimal"/>
      <w:lvlText w:val="%4."/>
      <w:lvlJc w:val="left"/>
      <w:pPr>
        <w:tabs>
          <w:tab w:val="num" w:pos="8157"/>
        </w:tabs>
        <w:ind w:left="8157" w:hanging="360"/>
      </w:pPr>
    </w:lvl>
    <w:lvl w:ilvl="4" w:tentative="1">
      <w:start w:val="1"/>
      <w:numFmt w:val="decimal"/>
      <w:lvlText w:val="%5."/>
      <w:lvlJc w:val="left"/>
      <w:pPr>
        <w:tabs>
          <w:tab w:val="num" w:pos="8877"/>
        </w:tabs>
        <w:ind w:left="8877" w:hanging="360"/>
      </w:pPr>
    </w:lvl>
    <w:lvl w:ilvl="5" w:tentative="1">
      <w:start w:val="1"/>
      <w:numFmt w:val="decimal"/>
      <w:lvlText w:val="%6."/>
      <w:lvlJc w:val="left"/>
      <w:pPr>
        <w:tabs>
          <w:tab w:val="num" w:pos="9597"/>
        </w:tabs>
        <w:ind w:left="9597" w:hanging="360"/>
      </w:pPr>
    </w:lvl>
    <w:lvl w:ilvl="6" w:tentative="1">
      <w:start w:val="1"/>
      <w:numFmt w:val="decimal"/>
      <w:lvlText w:val="%7."/>
      <w:lvlJc w:val="left"/>
      <w:pPr>
        <w:tabs>
          <w:tab w:val="num" w:pos="10317"/>
        </w:tabs>
        <w:ind w:left="10317" w:hanging="360"/>
      </w:pPr>
    </w:lvl>
    <w:lvl w:ilvl="7" w:tentative="1">
      <w:start w:val="1"/>
      <w:numFmt w:val="decimal"/>
      <w:lvlText w:val="%8."/>
      <w:lvlJc w:val="left"/>
      <w:pPr>
        <w:tabs>
          <w:tab w:val="num" w:pos="11037"/>
        </w:tabs>
        <w:ind w:left="11037" w:hanging="360"/>
      </w:pPr>
    </w:lvl>
    <w:lvl w:ilvl="8" w:tentative="1">
      <w:start w:val="1"/>
      <w:numFmt w:val="decimal"/>
      <w:lvlText w:val="%9."/>
      <w:lvlJc w:val="left"/>
      <w:pPr>
        <w:tabs>
          <w:tab w:val="num" w:pos="11757"/>
        </w:tabs>
        <w:ind w:left="11757" w:hanging="360"/>
      </w:pPr>
    </w:lvl>
  </w:abstractNum>
  <w:abstractNum w:abstractNumId="17" w15:restartNumberingAfterBreak="0">
    <w:nsid w:val="77320E2A"/>
    <w:multiLevelType w:val="hybridMultilevel"/>
    <w:tmpl w:val="7DA6A6AA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5073EA"/>
    <w:multiLevelType w:val="multilevel"/>
    <w:tmpl w:val="9B54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0E"/>
    <w:rsid w:val="00022556"/>
    <w:rsid w:val="0003040E"/>
    <w:rsid w:val="000403B8"/>
    <w:rsid w:val="00051265"/>
    <w:rsid w:val="000612A2"/>
    <w:rsid w:val="000633F2"/>
    <w:rsid w:val="00080867"/>
    <w:rsid w:val="000974B4"/>
    <w:rsid w:val="000A4D7F"/>
    <w:rsid w:val="000A5DF4"/>
    <w:rsid w:val="000E5A2A"/>
    <w:rsid w:val="000F3D93"/>
    <w:rsid w:val="001442C5"/>
    <w:rsid w:val="001662EF"/>
    <w:rsid w:val="001742D1"/>
    <w:rsid w:val="001766B4"/>
    <w:rsid w:val="0019081C"/>
    <w:rsid w:val="001D36C2"/>
    <w:rsid w:val="001E456F"/>
    <w:rsid w:val="002139D0"/>
    <w:rsid w:val="0021486A"/>
    <w:rsid w:val="00222430"/>
    <w:rsid w:val="002749BD"/>
    <w:rsid w:val="0029336A"/>
    <w:rsid w:val="00297CB8"/>
    <w:rsid w:val="002B54E1"/>
    <w:rsid w:val="002B5B5A"/>
    <w:rsid w:val="002B7D1D"/>
    <w:rsid w:val="002D4137"/>
    <w:rsid w:val="00302E62"/>
    <w:rsid w:val="00350F22"/>
    <w:rsid w:val="0035302E"/>
    <w:rsid w:val="00362CEF"/>
    <w:rsid w:val="003829EA"/>
    <w:rsid w:val="00387CAD"/>
    <w:rsid w:val="003A768B"/>
    <w:rsid w:val="00400F34"/>
    <w:rsid w:val="00427F23"/>
    <w:rsid w:val="00450260"/>
    <w:rsid w:val="004529D4"/>
    <w:rsid w:val="00455C90"/>
    <w:rsid w:val="0046661C"/>
    <w:rsid w:val="00480112"/>
    <w:rsid w:val="00482202"/>
    <w:rsid w:val="00486AAD"/>
    <w:rsid w:val="004C34B5"/>
    <w:rsid w:val="004D55C7"/>
    <w:rsid w:val="004E4774"/>
    <w:rsid w:val="00505940"/>
    <w:rsid w:val="00521253"/>
    <w:rsid w:val="00544223"/>
    <w:rsid w:val="00566042"/>
    <w:rsid w:val="00567FB0"/>
    <w:rsid w:val="00594614"/>
    <w:rsid w:val="005E0C90"/>
    <w:rsid w:val="005E759D"/>
    <w:rsid w:val="005F44E2"/>
    <w:rsid w:val="006036F3"/>
    <w:rsid w:val="0068682B"/>
    <w:rsid w:val="006D359E"/>
    <w:rsid w:val="007371FF"/>
    <w:rsid w:val="007554B7"/>
    <w:rsid w:val="00763D78"/>
    <w:rsid w:val="00790AFA"/>
    <w:rsid w:val="007A4603"/>
    <w:rsid w:val="007D57DB"/>
    <w:rsid w:val="007D5B59"/>
    <w:rsid w:val="007F1AFA"/>
    <w:rsid w:val="00800B6B"/>
    <w:rsid w:val="008348CC"/>
    <w:rsid w:val="008D4B2A"/>
    <w:rsid w:val="009039B5"/>
    <w:rsid w:val="00925272"/>
    <w:rsid w:val="00941856"/>
    <w:rsid w:val="009566D3"/>
    <w:rsid w:val="00975D7B"/>
    <w:rsid w:val="00996984"/>
    <w:rsid w:val="00997E73"/>
    <w:rsid w:val="009A04F0"/>
    <w:rsid w:val="009B0B7F"/>
    <w:rsid w:val="009F097C"/>
    <w:rsid w:val="009F6BE8"/>
    <w:rsid w:val="00A059A7"/>
    <w:rsid w:val="00A132BF"/>
    <w:rsid w:val="00A37AC2"/>
    <w:rsid w:val="00A5019A"/>
    <w:rsid w:val="00A54BD5"/>
    <w:rsid w:val="00A75551"/>
    <w:rsid w:val="00AE776C"/>
    <w:rsid w:val="00B9067A"/>
    <w:rsid w:val="00B9303C"/>
    <w:rsid w:val="00B970D6"/>
    <w:rsid w:val="00BD023B"/>
    <w:rsid w:val="00BE3A4A"/>
    <w:rsid w:val="00BE5698"/>
    <w:rsid w:val="00C706F1"/>
    <w:rsid w:val="00C72D4C"/>
    <w:rsid w:val="00CE6DA7"/>
    <w:rsid w:val="00CF005F"/>
    <w:rsid w:val="00D33E16"/>
    <w:rsid w:val="00D44D1D"/>
    <w:rsid w:val="00D55527"/>
    <w:rsid w:val="00D76989"/>
    <w:rsid w:val="00D81B9E"/>
    <w:rsid w:val="00DA704A"/>
    <w:rsid w:val="00DC662C"/>
    <w:rsid w:val="00E23E01"/>
    <w:rsid w:val="00E2501F"/>
    <w:rsid w:val="00E31A05"/>
    <w:rsid w:val="00E44150"/>
    <w:rsid w:val="00E723D0"/>
    <w:rsid w:val="00E7485F"/>
    <w:rsid w:val="00E83E4F"/>
    <w:rsid w:val="00EB66DF"/>
    <w:rsid w:val="00EC0AE4"/>
    <w:rsid w:val="00ED2F46"/>
    <w:rsid w:val="00EE6685"/>
    <w:rsid w:val="00EE7038"/>
    <w:rsid w:val="00EF3D4D"/>
    <w:rsid w:val="00F11829"/>
    <w:rsid w:val="00F154F8"/>
    <w:rsid w:val="00F23D38"/>
    <w:rsid w:val="00F4565D"/>
    <w:rsid w:val="00F46C1C"/>
    <w:rsid w:val="00F966D2"/>
    <w:rsid w:val="00FC2511"/>
    <w:rsid w:val="00FC2F70"/>
    <w:rsid w:val="00FC34E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5EC32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1486A"/>
    <w:rPr>
      <w:b/>
      <w:bCs/>
    </w:rPr>
  </w:style>
  <w:style w:type="paragraph" w:styleId="Normlnweb">
    <w:name w:val="Normal (Web)"/>
    <w:basedOn w:val="Normln"/>
    <w:uiPriority w:val="99"/>
    <w:unhideWhenUsed/>
    <w:rsid w:val="002148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styleId="Odstavecseseznamem">
    <w:name w:val="List Paragraph"/>
    <w:basedOn w:val="Normln"/>
    <w:uiPriority w:val="34"/>
    <w:rsid w:val="001E456F"/>
    <w:pPr>
      <w:ind w:left="720"/>
      <w:contextualSpacing/>
    </w:pPr>
    <w:rPr>
      <w:rFonts w:cs="Mang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552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D359E"/>
    <w:pPr>
      <w:numPr>
        <w:numId w:val="7"/>
      </w:numPr>
    </w:pPr>
  </w:style>
  <w:style w:type="numbering" w:customStyle="1" w:styleId="CurrentList2">
    <w:name w:val="Current List2"/>
    <w:uiPriority w:val="99"/>
    <w:rsid w:val="0029336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9788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rihlaska.cvu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2dfa34ac-9467-4e85-946d-6e524044d9b5">2020-02-05</aaa>
    <_dlc_DocId xmlns="232eb3cb-0013-4084-8489-e63e9284d86c">2KRKAR7ZDJ34-649316763-243</_dlc_DocId>
    <_dlc_DocIdUrl xmlns="232eb3cb-0013-4084-8489-e63e9284d86c">
      <Url>https://sharepoint.cvut.cz/team/14900/_layouts/15/DocIdRedir.aspx?ID=2KRKAR7ZDJ34-649316763-243</Url>
      <Description>2KRKAR7ZDJ34-649316763-243</Description>
    </_dlc_DocIdUrl>
    <Datum2 xmlns="2dfa34ac-9467-4e85-946d-6e524044d9b5">2021-12-09T12:56:59+00:00</Datum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FA8BD6CD514884E8BD3894357AE3" ma:contentTypeVersion="8" ma:contentTypeDescription="Vytvoří nový dokument" ma:contentTypeScope="" ma:versionID="65cdc4a4078682106f8d485b6f0ba0b7">
  <xsd:schema xmlns:xsd="http://www.w3.org/2001/XMLSchema" xmlns:xs="http://www.w3.org/2001/XMLSchema" xmlns:p="http://schemas.microsoft.com/office/2006/metadata/properties" xmlns:ns2="232eb3cb-0013-4084-8489-e63e9284d86c" xmlns:ns3="2dfa34ac-9467-4e85-946d-6e524044d9b5" targetNamespace="http://schemas.microsoft.com/office/2006/metadata/properties" ma:root="true" ma:fieldsID="d389f99bf7a799ec91322d5d941c0b30" ns2:_="" ns3:_="">
    <xsd:import namespace="232eb3cb-0013-4084-8489-e63e9284d86c"/>
    <xsd:import namespace="2dfa34ac-9467-4e85-946d-6e524044d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aaa" minOccurs="0"/>
                <xsd:element ref="ns2:SharedWithDetails" minOccurs="0"/>
                <xsd:element ref="ns3:Datu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b3cb-0013-4084-8489-e63e928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34ac-9467-4e85-946d-6e524044d9b5" elementFormDefault="qualified">
    <xsd:import namespace="http://schemas.microsoft.com/office/2006/documentManagement/types"/>
    <xsd:import namespace="http://schemas.microsoft.com/office/infopath/2007/PartnerControls"/>
    <xsd:element name="aaa" ma:index="12" nillable="true" ma:displayName="Platnost od" ma:internalName="aaa">
      <xsd:simpleType>
        <xsd:restriction base="dms:Text">
          <xsd:maxLength value="255"/>
        </xsd:restriction>
      </xsd:simpleType>
    </xsd:element>
    <xsd:element name="Datum2" ma:index="14" nillable="true" ma:displayName="Platné od" ma:default="[today]" ma:format="DateOnly" ma:internalName="Datum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2dfa34ac-9467-4e85-946d-6e524044d9b5"/>
    <ds:schemaRef ds:uri="232eb3cb-0013-4084-8489-e63e9284d86c"/>
  </ds:schemaRefs>
</ds:datastoreItem>
</file>

<file path=customXml/itemProps3.xml><?xml version="1.0" encoding="utf-8"?>
<ds:datastoreItem xmlns:ds="http://schemas.openxmlformats.org/officeDocument/2006/customXml" ds:itemID="{3C4ECE6E-5C8A-456F-964E-F7CD2AF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b3cb-0013-4084-8489-e63e9284d86c"/>
    <ds:schemaRef ds:uri="2dfa34ac-9467-4e85-946d-6e524044d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74C71-C854-4D33-83EE-EDDF21EFCC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02B1F-213D-4803-B83C-6D8C3E47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10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>Hlavičkový papír FJFI [CZ]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FJFI [CZ]</dc:title>
  <dc:creator>schlopet</dc:creator>
  <cp:lastModifiedBy>Novotna, Lucie</cp:lastModifiedBy>
  <cp:revision>5</cp:revision>
  <cp:lastPrinted>2022-11-24T14:14:00Z</cp:lastPrinted>
  <dcterms:created xsi:type="dcterms:W3CDTF">2023-08-21T11:04:00Z</dcterms:created>
  <dcterms:modified xsi:type="dcterms:W3CDTF">2023-11-16T08:33:00Z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0x010100DE3FFA8BD6CD514884E8BD3894357AE3</vt:lpwstr>
  </property>
  <property fmtid="{D5CDD505-2E9C-101B-9397-08002B2CF9AE}" pid="3" name="_dlc_DocIdItemGuid">
    <vt:lpwstr>59beb9f6-bc48-4a35-8489-07bb37bc297b</vt:lpwstr>
  </property>
</Properties>
</file>